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13941" w14:textId="01CF68EC" w:rsidR="00376E09" w:rsidRDefault="00376E09" w:rsidP="00376E09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bookmarkStart w:id="0" w:name="_Hlk492190689"/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1D2B1A">
        <w:rPr>
          <w:rFonts w:ascii="Arial" w:hAnsi="Arial" w:cs="Arial"/>
          <w:b/>
          <w:bCs/>
          <w:lang w:val="de-DE"/>
        </w:rPr>
        <w:t>36</w:t>
      </w:r>
      <w:r w:rsidR="00DB546D">
        <w:rPr>
          <w:rFonts w:ascii="Arial" w:hAnsi="Arial" w:cs="Arial"/>
          <w:b/>
          <w:bCs/>
          <w:lang w:val="de-DE"/>
        </w:rPr>
        <w:t>50</w:t>
      </w:r>
    </w:p>
    <w:p w14:paraId="4DC6E547" w14:textId="106E21D2" w:rsidR="00E93E89" w:rsidRPr="008F3CAE" w:rsidRDefault="00376E09" w:rsidP="00376E0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</w:rPr>
        <w:t>t</w:t>
      </w:r>
      <w:r>
        <w:rPr>
          <w:rFonts w:ascii="Arial" w:hAnsi="Arial" w:cs="Arial"/>
          <w:b/>
          <w:bCs/>
          <w:vertAlign w:val="superscript"/>
        </w:rPr>
        <w:t>h</w:t>
      </w:r>
      <w:r>
        <w:rPr>
          <w:rFonts w:ascii="Arial" w:hAnsi="Arial" w:cs="Arial"/>
          <w:b/>
          <w:bCs/>
        </w:rPr>
        <w:t>, 2024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CF8DE89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376E09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</w:t>
      </w:r>
      <w:r w:rsidR="00376E09">
        <w:rPr>
          <w:rFonts w:ascii="Arial" w:hAnsi="Arial" w:cs="Arial"/>
        </w:rPr>
        <w:t>9</w:t>
      </w:r>
      <w:r w:rsidR="00DA48E3">
        <w:rPr>
          <w:rFonts w:ascii="Arial" w:hAnsi="Arial" w:cs="Arial"/>
        </w:rPr>
        <w:t xml:space="preserve"> MIMO</w:t>
      </w:r>
      <w:bookmarkEnd w:id="1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4B2927E6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B546D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6344BFA3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376E09">
        <w:rPr>
          <w:sz w:val="22"/>
          <w:szCs w:val="22"/>
        </w:rPr>
        <w:t>CBSR</w:t>
      </w:r>
      <w:r w:rsidR="00B574AE">
        <w:rPr>
          <w:sz w:val="22"/>
          <w:szCs w:val="22"/>
        </w:rPr>
        <w:t>:</w:t>
      </w:r>
      <w:r w:rsidR="007E2D76" w:rsidRPr="00E17308">
        <w:rPr>
          <w:sz w:val="22"/>
          <w:szCs w:val="22"/>
        </w:rPr>
        <w:t xml:space="preserve"> </w:t>
      </w:r>
    </w:p>
    <w:p w14:paraId="602A5082" w14:textId="182749F1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BDA61B4" w14:textId="38B4E85A" w:rsidR="00376E09" w:rsidRPr="00376E09" w:rsidRDefault="00376E09" w:rsidP="00376E09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73E30EF4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For the Rel-19 Type-II codebook refinement for </w:t>
      </w:r>
      <w:r w:rsidRPr="00376E09">
        <w:rPr>
          <w:rFonts w:ascii="Times" w:hAnsi="Times"/>
          <w:iCs/>
          <w:sz w:val="22"/>
        </w:rPr>
        <w:t>48, 64, and</w:t>
      </w:r>
      <w:r w:rsidRPr="00376E09">
        <w:rPr>
          <w:rFonts w:ascii="Times" w:eastAsia="Batang" w:hAnsi="Times"/>
          <w:iCs/>
          <w:sz w:val="22"/>
        </w:rPr>
        <w:t xml:space="preserve"> 128 CSI-RS ports, on CBSR, refine the legacy CBSR as follows:</w:t>
      </w:r>
    </w:p>
    <w:p w14:paraId="68C19B4D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Only 1-bit hard restriction is supported (analogous to Rel-18 Type-II)</w:t>
      </w:r>
    </w:p>
    <w:p w14:paraId="666FD221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Moving (N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>, 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>) configuration out from CBSR IE and the CBSR can be optional configured</w:t>
      </w:r>
    </w:p>
    <w:p w14:paraId="6ADD312D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Send LS to RAN2, and subject to RAN2 consent</w:t>
      </w:r>
    </w:p>
    <w:p w14:paraId="42B4687C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 xml:space="preserve">Group-based CBSR granularity where 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each bit in the CBSR is associated with a set of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SD basis vectors, where the set includes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basis vectors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 and/or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bases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</w:t>
      </w:r>
    </w:p>
    <w:p w14:paraId="1E192E7F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FFS: Value(s) of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detailed design/spec impact </w:t>
      </w:r>
    </w:p>
    <w:p w14:paraId="4719829F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FFS: </w:t>
      </w:r>
      <w:r w:rsidRPr="00376E09">
        <w:rPr>
          <w:rFonts w:ascii="Times" w:eastAsia="Batang" w:hAnsi="Times"/>
          <w:sz w:val="22"/>
        </w:rPr>
        <w:t>Whether/how to enable shared CBSR in RRC configuration for Type-I/-II codebooks with a same (N</w:t>
      </w:r>
      <w:proofErr w:type="gramStart"/>
      <w:r w:rsidRPr="00376E09">
        <w:rPr>
          <w:rFonts w:ascii="Times" w:eastAsia="Batang" w:hAnsi="Times"/>
          <w:sz w:val="22"/>
          <w:vertAlign w:val="subscript"/>
        </w:rPr>
        <w:t>1</w:t>
      </w:r>
      <w:r w:rsidRPr="00376E09">
        <w:rPr>
          <w:rFonts w:ascii="Times" w:eastAsia="Batang" w:hAnsi="Times"/>
          <w:sz w:val="22"/>
        </w:rPr>
        <w:t>,N</w:t>
      </w:r>
      <w:proofErr w:type="gramEnd"/>
      <w:r w:rsidRPr="00376E09">
        <w:rPr>
          <w:rFonts w:ascii="Times" w:eastAsia="Batang" w:hAnsi="Times"/>
          <w:sz w:val="22"/>
          <w:vertAlign w:val="subscript"/>
        </w:rPr>
        <w:t>2</w:t>
      </w:r>
      <w:r w:rsidRPr="00376E09">
        <w:rPr>
          <w:rFonts w:ascii="Times" w:eastAsia="Batang" w:hAnsi="Times"/>
          <w:sz w:val="22"/>
        </w:rPr>
        <w:t>).</w:t>
      </w:r>
    </w:p>
    <w:p w14:paraId="364C6563" w14:textId="67DEF446" w:rsidR="00376E09" w:rsidRDefault="00376E09" w:rsidP="007F1A8A">
      <w:pPr>
        <w:snapToGrid w:val="0"/>
        <w:jc w:val="both"/>
        <w:rPr>
          <w:sz w:val="22"/>
          <w:szCs w:val="22"/>
        </w:rPr>
      </w:pPr>
    </w:p>
    <w:p w14:paraId="6F4E0143" w14:textId="77777777" w:rsidR="00A6457B" w:rsidRDefault="00A6457B" w:rsidP="007F1A8A">
      <w:pPr>
        <w:snapToGrid w:val="0"/>
        <w:jc w:val="both"/>
        <w:rPr>
          <w:sz w:val="22"/>
          <w:szCs w:val="22"/>
        </w:rPr>
      </w:pPr>
    </w:p>
    <w:p w14:paraId="4F8E1BF5" w14:textId="77777777" w:rsidR="0077204B" w:rsidRPr="00376E09" w:rsidRDefault="0077204B" w:rsidP="0077204B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03C7AC9C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sz w:val="22"/>
        </w:rPr>
        <w:t xml:space="preserve">For the </w:t>
      </w:r>
      <w:r w:rsidRPr="0077204B">
        <w:rPr>
          <w:rFonts w:eastAsia="Batang"/>
          <w:iCs/>
          <w:sz w:val="22"/>
        </w:rPr>
        <w:t>Rel-19 Type-I SP codebook refinement for 48, 64, and 128 CSI-RS ports, regarding CBSR design:</w:t>
      </w:r>
    </w:p>
    <w:p w14:paraId="1E357DF1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1-bit hard restriction is supported (analogous to Rel-15 Type-I)</w:t>
      </w:r>
    </w:p>
    <w:p w14:paraId="052D52E8" w14:textId="71410EBA" w:rsidR="0077204B" w:rsidRPr="0077204B" w:rsidRDefault="00A6457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>
        <w:rPr>
          <w:rFonts w:eastAsia="Batang"/>
          <w:iCs/>
          <w:sz w:val="22"/>
        </w:rPr>
        <w:t>FFS:</w:t>
      </w:r>
      <w:r w:rsidR="0077204B" w:rsidRPr="0077204B">
        <w:rPr>
          <w:rFonts w:eastAsia="Batang"/>
          <w:iCs/>
          <w:sz w:val="22"/>
        </w:rPr>
        <w:t xml:space="preserve"> 3-bit scaling factor for soft restriction is supported with the scaling factor </w:t>
      </w:r>
      <w:proofErr w:type="gramStart"/>
      <w:r w:rsidR="0077204B" w:rsidRPr="0077204B">
        <w:rPr>
          <w:rFonts w:eastAsia="Batang"/>
          <w:iCs/>
          <w:sz w:val="22"/>
        </w:rPr>
        <w:t>taken into account</w:t>
      </w:r>
      <w:proofErr w:type="gramEnd"/>
      <w:r w:rsidR="0077204B" w:rsidRPr="0077204B">
        <w:rPr>
          <w:rFonts w:eastAsia="Batang"/>
          <w:iCs/>
          <w:sz w:val="22"/>
        </w:rPr>
        <w:t xml:space="preserve"> in CQI/PMI calculation</w:t>
      </w:r>
    </w:p>
    <w:p w14:paraId="3BB89B12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Moving (N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 configuration out from CBSR IE and the CBSR can be optiona</w:t>
      </w:r>
      <w:bookmarkStart w:id="2" w:name="_GoBack"/>
      <w:bookmarkEnd w:id="2"/>
      <w:r w:rsidRPr="0077204B">
        <w:rPr>
          <w:rFonts w:eastAsia="Batang"/>
          <w:iCs/>
          <w:sz w:val="22"/>
        </w:rPr>
        <w:t>l configured</w:t>
      </w:r>
    </w:p>
    <w:p w14:paraId="3421D90E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Send LS to RAN2, and subject to RAN2 consent</w:t>
      </w:r>
    </w:p>
    <w:p w14:paraId="1190CDEC" w14:textId="328D6DA2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 xml:space="preserve"> 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den>
        </m:f>
      </m:oMath>
      <w:r w:rsidRPr="0077204B">
        <w:rPr>
          <w:rFonts w:eastAsia="Batang"/>
          <w:iCs/>
          <w:sz w:val="22"/>
        </w:rPr>
        <w:t>-bit CBSR where each bit in the CBSR is associated with a set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SD basis vectors, where the set includes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adjacent SD basis vectors along the 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direction and/or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adjacent SD bases along the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direction</w:t>
      </w:r>
    </w:p>
    <w:p w14:paraId="7B38966C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Value(s)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and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and detailed design/spec impact </w:t>
      </w:r>
    </w:p>
    <w:p w14:paraId="44EF9635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Whether/how to enable shared CBSR in RRC configuration for Type-I/II codebooks with a same (N</w:t>
      </w:r>
      <w:proofErr w:type="gramStart"/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,N</w:t>
      </w:r>
      <w:proofErr w:type="gramEnd"/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).</w:t>
      </w:r>
    </w:p>
    <w:p w14:paraId="3D903EC7" w14:textId="61C52C5C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6443BDFB" w14:textId="77777777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F78CBD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600AA854" w14:textId="77777777" w:rsidR="00BA128D" w:rsidRDefault="00BA128D" w:rsidP="00BA128D">
      <w:pPr>
        <w:tabs>
          <w:tab w:val="left" w:pos="5103"/>
        </w:tabs>
        <w:snapToGrid w:val="0"/>
        <w:ind w:left="2275" w:hanging="2275"/>
        <w:rPr>
          <w:bCs/>
          <w:sz w:val="22"/>
          <w:szCs w:val="22"/>
        </w:rPr>
      </w:pPr>
    </w:p>
    <w:p w14:paraId="730393E9" w14:textId="4392566F" w:rsidR="009D325A" w:rsidRDefault="00652802" w:rsidP="00BA128D">
      <w:pPr>
        <w:tabs>
          <w:tab w:val="left" w:pos="5103"/>
        </w:tabs>
        <w:snapToGrid w:val="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376E09">
        <w:rPr>
          <w:bCs/>
          <w:sz w:val="22"/>
          <w:szCs w:val="22"/>
        </w:rPr>
        <w:t>7</w:t>
      </w:r>
      <w:r w:rsidRPr="00115C5B">
        <w:rPr>
          <w:bCs/>
          <w:sz w:val="22"/>
          <w:szCs w:val="22"/>
        </w:rPr>
        <w:t xml:space="preserve">                      </w:t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376E09">
        <w:rPr>
          <w:bCs/>
          <w:sz w:val="22"/>
          <w:szCs w:val="22"/>
        </w:rPr>
        <w:t>Fukuoka</w:t>
      </w:r>
      <w:r w:rsidR="007675BF">
        <w:rPr>
          <w:bCs/>
          <w:sz w:val="22"/>
          <w:szCs w:val="22"/>
        </w:rPr>
        <w:t xml:space="preserve">, </w:t>
      </w:r>
      <w:r w:rsidR="00376E09">
        <w:rPr>
          <w:bCs/>
          <w:sz w:val="22"/>
          <w:szCs w:val="22"/>
        </w:rPr>
        <w:t>Japan</w:t>
      </w:r>
    </w:p>
    <w:p w14:paraId="288064EF" w14:textId="7585EAF1" w:rsidR="00BA128D" w:rsidRPr="00652802" w:rsidRDefault="00BA128D" w:rsidP="00BA128D">
      <w:pPr>
        <w:tabs>
          <w:tab w:val="left" w:pos="5103"/>
        </w:tabs>
        <w:snapToGrid w:val="0"/>
        <w:ind w:left="2275" w:hanging="2275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8</w:t>
      </w:r>
      <w:r w:rsidRPr="00115C5B">
        <w:rPr>
          <w:bCs/>
          <w:sz w:val="22"/>
          <w:szCs w:val="22"/>
        </w:rPr>
        <w:t xml:space="preserve">                      </w:t>
      </w:r>
      <w:r w:rsidR="00472657">
        <w:rPr>
          <w:bCs/>
          <w:sz w:val="22"/>
          <w:szCs w:val="22"/>
        </w:rPr>
        <w:t>19</w:t>
      </w:r>
      <w:r>
        <w:rPr>
          <w:bCs/>
          <w:sz w:val="22"/>
          <w:szCs w:val="22"/>
          <w:vertAlign w:val="superscript"/>
        </w:rPr>
        <w:t>th</w:t>
      </w:r>
      <w:r w:rsidR="0047265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– </w:t>
      </w:r>
      <w:r w:rsidR="00472657">
        <w:rPr>
          <w:bCs/>
          <w:sz w:val="22"/>
          <w:szCs w:val="22"/>
        </w:rPr>
        <w:t>23</w:t>
      </w:r>
      <w:r w:rsidR="00472657">
        <w:rPr>
          <w:bCs/>
          <w:sz w:val="22"/>
          <w:szCs w:val="22"/>
          <w:vertAlign w:val="superscript"/>
        </w:rPr>
        <w:t>rd</w:t>
      </w:r>
      <w:r>
        <w:rPr>
          <w:bCs/>
          <w:sz w:val="22"/>
          <w:szCs w:val="22"/>
        </w:rPr>
        <w:t xml:space="preserve"> </w:t>
      </w:r>
      <w:r w:rsidR="00472657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612F1C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Maastricht</w:t>
      </w:r>
      <w:r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NL</w:t>
      </w:r>
    </w:p>
    <w:p w14:paraId="4026B87D" w14:textId="77777777" w:rsidR="00BA128D" w:rsidRPr="00652802" w:rsidRDefault="00BA128D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BA128D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B82D5" w14:textId="77777777" w:rsidR="00A177C7" w:rsidRDefault="00A177C7" w:rsidP="00A0385F">
      <w:r>
        <w:separator/>
      </w:r>
    </w:p>
  </w:endnote>
  <w:endnote w:type="continuationSeparator" w:id="0">
    <w:p w14:paraId="6B3EF704" w14:textId="77777777" w:rsidR="00A177C7" w:rsidRDefault="00A177C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CB01B" w14:textId="77777777" w:rsidR="00A177C7" w:rsidRDefault="00A177C7" w:rsidP="00A0385F">
      <w:r>
        <w:separator/>
      </w:r>
    </w:p>
  </w:footnote>
  <w:footnote w:type="continuationSeparator" w:id="0">
    <w:p w14:paraId="003E7790" w14:textId="77777777" w:rsidR="00A177C7" w:rsidRDefault="00A177C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7"/>
  </w:num>
  <w:num w:numId="9">
    <w:abstractNumId w:val="5"/>
  </w:num>
  <w:num w:numId="10">
    <w:abstractNumId w:val="23"/>
  </w:num>
  <w:num w:numId="11">
    <w:abstractNumId w:val="28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3"/>
  </w:num>
  <w:num w:numId="15">
    <w:abstractNumId w:val="29"/>
  </w:num>
  <w:num w:numId="16">
    <w:abstractNumId w:val="11"/>
  </w:num>
  <w:num w:numId="17">
    <w:abstractNumId w:val="31"/>
  </w:num>
  <w:num w:numId="18">
    <w:abstractNumId w:val="12"/>
  </w:num>
  <w:num w:numId="19">
    <w:abstractNumId w:val="2"/>
  </w:num>
  <w:num w:numId="20">
    <w:abstractNumId w:val="4"/>
  </w:num>
  <w:num w:numId="21">
    <w:abstractNumId w:val="30"/>
  </w:num>
  <w:num w:numId="22">
    <w:abstractNumId w:val="19"/>
  </w:num>
  <w:num w:numId="23">
    <w:abstractNumId w:val="13"/>
  </w:num>
  <w:num w:numId="24">
    <w:abstractNumId w:val="25"/>
  </w:num>
  <w:num w:numId="25">
    <w:abstractNumId w:val="8"/>
  </w:num>
  <w:num w:numId="26">
    <w:abstractNumId w:val="16"/>
  </w:num>
  <w:num w:numId="27">
    <w:abstractNumId w:val="0"/>
  </w:num>
  <w:num w:numId="28">
    <w:abstractNumId w:val="24"/>
  </w:num>
  <w:num w:numId="29">
    <w:abstractNumId w:val="6"/>
  </w:num>
  <w:num w:numId="30">
    <w:abstractNumId w:val="32"/>
  </w:num>
  <w:num w:numId="31">
    <w:abstractNumId w:val="1"/>
  </w:num>
  <w:num w:numId="32">
    <w:abstractNumId w:val="34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72657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2F1C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3CE0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7C7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9BE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128D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007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97439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B546D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D972A-6322-40AF-A068-9B0EFB79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2</cp:revision>
  <cp:lastPrinted>2002-04-23T06:10:00Z</cp:lastPrinted>
  <dcterms:created xsi:type="dcterms:W3CDTF">2024-04-18T09:36:00Z</dcterms:created>
  <dcterms:modified xsi:type="dcterms:W3CDTF">2024-04-18T09:36:00Z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